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503E" w:rsidRPr="00A5503E" w:rsidTr="00AC0AF0">
        <w:tc>
          <w:tcPr>
            <w:tcW w:w="4814" w:type="dxa"/>
          </w:tcPr>
          <w:p w:rsidR="00A5503E" w:rsidRPr="00A5503E" w:rsidRDefault="00A5503E" w:rsidP="00BB227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AGINDUA, EKONOMIAREN GARAPEN ETA AZPIEGITURA SAILBURUARENA. HORREN BIDEZ, AURRETIAZKO KONTSULTAREN IZAPIDEA EMAN ZAIO EUSKAL AUTONOMIA ERKIDEGOAN PARKE EOLIKOEN ADMINISTRAZIO-BAIMENEN PROZEDURAK ARAUTZEN DITUEN XEDAPEN OROKOR BAT EGITEKO PROZEDURARI.</w:t>
            </w:r>
          </w:p>
        </w:tc>
        <w:tc>
          <w:tcPr>
            <w:tcW w:w="4814" w:type="dxa"/>
          </w:tcPr>
          <w:p w:rsidR="00A5503E" w:rsidRPr="00A5503E" w:rsidRDefault="00A5503E" w:rsidP="00BB227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ORDEN DE LA CONSEJERA DE DESARROLLO ECONÓMICO E INFRAESTRUCTURAS POR LA QUE SE SOMETE A CONSULTA PREVIA LA ELABORACIÓN DE UNA DISPOSICIÓN DE CARÁCTER GENERAL QUE REGULE LOS PROCEDIMIENTOS DE AUTORIZACIÓN ADMINISTRATIVA DE PARQUES EÓLICOS EN LA COMUNIDAD AUTÓNOMA DEL PAÍS VASCO.</w:t>
            </w:r>
          </w:p>
        </w:tc>
      </w:tr>
      <w:tr w:rsidR="00A5503E" w:rsidRPr="00A5503E" w:rsidTr="00AC0AF0">
        <w:tc>
          <w:tcPr>
            <w:tcW w:w="4814" w:type="dxa"/>
          </w:tcPr>
          <w:p w:rsidR="00A5503E" w:rsidRPr="00A5503E" w:rsidRDefault="00A5503E" w:rsidP="00A5503E">
            <w:pPr>
              <w:pStyle w:val="NormalWeb"/>
              <w:shd w:val="clear" w:color="auto" w:fill="FFFFFF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Ekonomiaren Garapen eta Azpiegitura Sailaren arabera, beharrezkoa da Euskal Autonomia Erkidegoan parke eolikoen administrazio-baimenen prozeduren esparruan gaur egun dagoen araudi autonomikoko arau-esparrura eguneratu eta egokitzea.</w:t>
            </w: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Urriaren 1eko 39/2015 Legeak (Administrazio Publikoen Administrazio Prozedura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Erkidearenak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) 133.1. artikuluan ezarritakoaren arabera, xedapen arauemaile baten proiektua egin aurretik kontsulta publikoa egingo da administrazio eskudunaren web-atariaren bidez; bertan, etorkizuneko arauaren eraginpean izan daitezkeen pertsona eta erakunde adierazgarrienen iritziaren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eguneraketa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eta egokitzapena jasoko da.</w:t>
            </w:r>
          </w:p>
          <w:p w:rsidR="00A5503E" w:rsidRPr="00A5503E" w:rsidRDefault="00A5503E" w:rsidP="00A5503E">
            <w:pPr>
              <w:tabs>
                <w:tab w:val="left" w:pos="10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5503E" w:rsidRPr="00A5503E" w:rsidRDefault="00A5503E" w:rsidP="00A5503E">
            <w:pPr>
              <w:tabs>
                <w:tab w:val="left" w:pos="10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5503E" w:rsidRPr="00A5503E" w:rsidRDefault="00A5503E" w:rsidP="00A5503E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Kontsultak alderdi hauek jaso behar ditu:</w:t>
            </w:r>
          </w:p>
          <w:p w:rsidR="00A5503E" w:rsidRPr="00A5503E" w:rsidRDefault="00A5503E" w:rsidP="00A5503E">
            <w:pPr>
              <w:pStyle w:val="parrafo2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a) Ekimenarekin konpondu nahi diren arazoak.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b) Ekimena onartzeko premia eta aukera.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c) Arauaren xedeak.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d) Egon daitezkeen ordezko irtenbide erregulatzaileak eta ez-erregulatzaileak.</w:t>
            </w: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Hori dela eta, aurretiazko kontsultaren izapidea bete nahi da xedapena egin baino lehen, arauak gehien uki ditzakeen herritarrek eta erakundeek parte hartu ahal izan dezaten eta ekarpenak egin ahal izan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diezazkioten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etorkizuneko arauari.</w:t>
            </w:r>
          </w:p>
        </w:tc>
        <w:tc>
          <w:tcPr>
            <w:tcW w:w="4814" w:type="dxa"/>
          </w:tcPr>
          <w:p w:rsidR="00A5503E" w:rsidRPr="00A5503E" w:rsidRDefault="00A5503E" w:rsidP="00A5503E">
            <w:pPr>
              <w:pStyle w:val="NormalWeb"/>
              <w:shd w:val="clear" w:color="auto" w:fill="FFFFFF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Desarrollo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Económico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Infraestructuras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considera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necesaria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actualización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y la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adaptación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actual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marco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normativo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regulación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autonómica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existente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materia de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procedimientos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administrativa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Comunidad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Autónoma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del País Vasco.</w:t>
            </w: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  <w:r w:rsidRPr="00A5503E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El artículo 133.1 de la Ley 39/2015, de 1 de octubre, de Procedimiento Administrativo Común de las Administraciones Públicas dispone que, con carácter previo a la elaboración de un proyecto de disposición normativa, se sustanciará una consulta pública, a través del portal web de la Administración competente, en la que se recabará actualización y adaptación la opinión de las personas y organizaciones más representativas potencialmente afectadas por la futura norma.</w:t>
            </w:r>
          </w:p>
          <w:p w:rsidR="00A5503E" w:rsidRPr="00A5503E" w:rsidRDefault="00A5503E" w:rsidP="00A5503E">
            <w:pPr>
              <w:tabs>
                <w:tab w:val="left" w:pos="10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5503E" w:rsidRPr="00A5503E" w:rsidRDefault="00A5503E" w:rsidP="00A5503E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La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consulta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se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debe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referir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a los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siguientes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aspectos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</w:t>
            </w:r>
          </w:p>
          <w:p w:rsidR="00A5503E" w:rsidRPr="00A5503E" w:rsidRDefault="00A5503E" w:rsidP="00A5503E">
            <w:pPr>
              <w:pStyle w:val="parrafo2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  <w:t>a) Los problemas que se pretenden solucionar con la iniciativa.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  <w:t>b) La necesidad y oportunidad de su aprobación.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  <w:t>c) Los objetivos de la norma.</w:t>
            </w:r>
          </w:p>
          <w:p w:rsidR="00A5503E" w:rsidRPr="00A5503E" w:rsidRDefault="00A5503E" w:rsidP="00A5503E">
            <w:pPr>
              <w:pStyle w:val="parrafo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  <w:lang w:val="es-ES_tradnl" w:eastAsia="ar-SA"/>
              </w:rPr>
              <w:t>d) Las posibles soluciones alternativas regulatorias y no regulatorias.</w:t>
            </w: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Por</w:t>
            </w:r>
            <w:r w:rsidRPr="00A5503E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ello, se pretende dar cumplimiento al citado trámite de consulta previa a la elaboración de la disposición, a los efectos de que la ciudadanía y demás entidades afectadas por la norma tengan la posibilidad de participar y realizar aportaciones a la norma que se plantea.</w:t>
            </w:r>
          </w:p>
        </w:tc>
      </w:tr>
    </w:tbl>
    <w:p w:rsidR="00A5503E" w:rsidRPr="00A5503E" w:rsidRDefault="00A550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503E" w:rsidRPr="00A5503E" w:rsidTr="00AC0AF0">
        <w:tc>
          <w:tcPr>
            <w:tcW w:w="4814" w:type="dxa"/>
          </w:tcPr>
          <w:p w:rsidR="00A5503E" w:rsidRDefault="00A5503E" w:rsidP="00A5503E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pStyle w:val="Prrafodelista"/>
              <w:spacing w:line="276" w:lineRule="auto"/>
              <w:ind w:left="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Horregatik guztiagatik, kontsulta:</w:t>
            </w:r>
          </w:p>
          <w:p w:rsidR="00A5503E" w:rsidRPr="00A5503E" w:rsidRDefault="00A5503E" w:rsidP="00A5503E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Etorkizuneko araubideak uki ditzakeen erakunde publikoei, pertsona fisikoei, antolakundeei, erakundeei eta elkarteei irekitzen zaie.</w:t>
            </w:r>
          </w:p>
          <w:p w:rsidR="00A5503E" w:rsidRPr="00A5503E" w:rsidRDefault="00A5503E" w:rsidP="00A5503E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Euskal Autonomia Erkidegoko Administrazio Publikoaren web-atarian argitaratuko da. </w:t>
            </w:r>
          </w:p>
          <w:p w:rsidR="00A5503E" w:rsidRPr="00A5503E" w:rsidRDefault="00A5503E" w:rsidP="00A5503E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Hamar egun balioduneko epea ezartzen da eragindako erakundeek, herritarrek eta beren entitateek egokitzat jotzen dituzten iradokizun eta iruzkin guztiak aurkez ditzaten. </w:t>
            </w:r>
          </w:p>
          <w:p w:rsidR="00A5503E" w:rsidRPr="00A5503E" w:rsidRDefault="00A5503E" w:rsidP="00A550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Hortaz, kontsulta publikoko izapide horixe da aurreikusitako legezko eskemari jarraituta orain egingo dena. Halaber, arauzko proiektua egin aurretik gauzatuko da kontsulta hori, xedapen orokorrak egiteko prozedurari buruzko abenduaren 22ko 8/2003 Legearen 4. eta 5. artikuluek arautzen duten hasiera-fasearen barruan.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Apirilaren 11ko 74/2017 Dekretuak (Ekonomiaren Garapen eta Azpiegitura Sailaren egitura organiko eta funtzionala ezartzen duenak) esleitutako eskumenen arabera, honako hau</w:t>
            </w:r>
          </w:p>
          <w:p w:rsidR="00A5503E" w:rsidRPr="00A5503E" w:rsidRDefault="00A5503E" w:rsidP="00A5503E">
            <w:pPr>
              <w:pStyle w:val="NormalWeb"/>
              <w:shd w:val="clear" w:color="auto" w:fill="FFFFFF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AC0AF0" w:rsidRDefault="00AC0AF0" w:rsidP="00AC0AF0">
            <w:pPr>
              <w:pStyle w:val="Prrafodelista"/>
              <w:spacing w:line="276" w:lineRule="auto"/>
              <w:ind w:left="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pStyle w:val="Prrafodelista"/>
              <w:spacing w:line="276" w:lineRule="auto"/>
              <w:ind w:left="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lastRenderedPageBreak/>
              <w:t>Por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todo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ello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consulta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AC0AF0" w:rsidRPr="003D613E" w:rsidRDefault="00AC0AF0" w:rsidP="00AC0AF0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abre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todas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aquellas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instituciones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públicas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personas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físicas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así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como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organizaciones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entidades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asociaciones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puedan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considerarse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afectadas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futura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regulación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normativa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publicará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el portal web de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Administración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General de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Euskadi. </w:t>
            </w:r>
          </w:p>
          <w:p w:rsidR="00AC0AF0" w:rsidRPr="003D613E" w:rsidRDefault="00AC0AF0" w:rsidP="00AC0AF0">
            <w:pPr>
              <w:pStyle w:val="Prrafodelista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establece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un plazo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diez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días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hábiles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instituciones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afectadas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ciudadanía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sus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entidades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presenten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todas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aquellas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sugerencias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observaciones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tengan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conveniente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. </w:t>
            </w: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Ese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trámite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consulta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pública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es,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tanto,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momentos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realiza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siguiendo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esquema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legal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previsto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. 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efectúa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además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con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carácter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previo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elaboración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proyecto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normativo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dentro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la fase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iniciación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regulan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artículos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4 y 5 de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Ley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8/2003, de 22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diciembre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del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Elaboración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Disposiciones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Carácter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General.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En virtud de las competencias atribuidas por el Decreto </w:t>
            </w: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74/2017, de 11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establece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estructura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orgánica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funcional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Desarrollo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Económico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Infraestructuras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03E" w:rsidRPr="00A5503E" w:rsidRDefault="00A5503E" w:rsidP="00A5503E">
            <w:pPr>
              <w:pStyle w:val="NormalWeb"/>
              <w:shd w:val="clear" w:color="auto" w:fill="FFFFFF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AF0" w:rsidRPr="00A5503E" w:rsidTr="00AC0AF0">
        <w:tc>
          <w:tcPr>
            <w:tcW w:w="4814" w:type="dxa"/>
          </w:tcPr>
          <w:p w:rsidR="00AC0AF0" w:rsidRPr="00A5503E" w:rsidRDefault="00AC0AF0" w:rsidP="00AC0AF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EBAZTEN DUT</w:t>
            </w:r>
          </w:p>
          <w:p w:rsidR="00AC0AF0" w:rsidRDefault="00AC0AF0" w:rsidP="00A5503E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pStyle w:val="NormalWeb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Lehenengoa. </w:t>
            </w:r>
            <w:r w:rsidRPr="00A55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Kontsulta publikoaren izapidea ematea, egin aurretik, Euskal Autonomia Erkidegoan parke eolikoen administrazio-baimenen prozedurak arautzen dituen xedapen orokor baten proiektuari.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C0AF0" w:rsidRDefault="00AC0AF0" w:rsidP="00A5503E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AC0AF0" w:rsidRPr="003D613E" w:rsidRDefault="00AC0AF0" w:rsidP="00AC0AF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3D613E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RESUELVO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:rsidR="00AC0AF0" w:rsidRPr="003D613E" w:rsidRDefault="00AC0AF0" w:rsidP="00AC0AF0">
            <w:pPr>
              <w:pStyle w:val="NormalWeb"/>
              <w:spacing w:before="24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Primero</w:t>
            </w:r>
            <w:proofErr w:type="spellEnd"/>
            <w:r w:rsidRPr="003D613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-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Someter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trámite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consulta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pública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con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carácter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previo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 su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elaboración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el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proyecto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de </w:t>
            </w: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una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disposición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carácter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general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administrativa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del País Vasco.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C0AF0" w:rsidRDefault="00AC0AF0" w:rsidP="00AC0AF0">
            <w:pPr>
              <w:pStyle w:val="Prrafodelista"/>
              <w:spacing w:line="276" w:lineRule="auto"/>
              <w:ind w:left="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:rsidR="00AC0AF0" w:rsidRDefault="00AC0AF0"/>
    <w:p w:rsidR="00AC0AF0" w:rsidRDefault="00AC0AF0">
      <w:r>
        <w:br w:type="page"/>
      </w:r>
    </w:p>
    <w:p w:rsidR="00AC0AF0" w:rsidRDefault="00AC0AF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0AF0" w:rsidRPr="00A5503E" w:rsidTr="00AC0AF0">
        <w:tc>
          <w:tcPr>
            <w:tcW w:w="4814" w:type="dxa"/>
          </w:tcPr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Bigarrena. </w:t>
            </w:r>
            <w:r w:rsidRPr="00A55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Herritarrek eta arauak eragindako erakundeek, hala nahi badute, hamar egun balioduneko epean helarazi ahalko dituzte agindu honen eranskinean azaltzen diren alderdiei buruzko iritziak, kontsulta Euskal Autonomia Erkidegoko Administrazio Orokorraren web-atarian argitaratu eta hurrengo egunetik zenbatzen hasita.</w:t>
            </w:r>
          </w:p>
          <w:p w:rsidR="00AC0AF0" w:rsidRPr="00A5503E" w:rsidRDefault="00AC0AF0" w:rsidP="00AC0A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Segundo. - </w:t>
            </w:r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ciudadanía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entidades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afectadas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la norma,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así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lo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consideren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pueden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hacer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llegar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sus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opiniones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sobre los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aspectos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planteados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Anexo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esta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Orden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 plazo de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diez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días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hábiles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contados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desde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día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siguiente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 de su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publicación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 portal web de la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Administración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General de la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Euskadi.</w:t>
            </w:r>
          </w:p>
          <w:p w:rsidR="00AC0AF0" w:rsidRPr="00AC0AF0" w:rsidRDefault="00AC0AF0" w:rsidP="00AC0AF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0AF0" w:rsidRPr="00A5503E" w:rsidTr="00AC0AF0">
        <w:tc>
          <w:tcPr>
            <w:tcW w:w="4814" w:type="dxa"/>
          </w:tcPr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Pr="00AC0AF0" w:rsidRDefault="00AC0AF0" w:rsidP="00117F7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Vitoria-Gasteizen, </w:t>
            </w:r>
          </w:p>
        </w:tc>
        <w:tc>
          <w:tcPr>
            <w:tcW w:w="4814" w:type="dxa"/>
          </w:tcPr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AC0AF0" w:rsidRPr="00AC0AF0" w:rsidRDefault="00AC0AF0" w:rsidP="00117F7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 Vitoria-Gasteiz,</w:t>
            </w:r>
          </w:p>
        </w:tc>
      </w:tr>
    </w:tbl>
    <w:p w:rsidR="002E7559" w:rsidRPr="00A5503E" w:rsidRDefault="002E7559" w:rsidP="00BB22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503E" w:rsidRPr="00A5503E" w:rsidRDefault="00A5503E" w:rsidP="00BB22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156" w:rsidRPr="00A5503E" w:rsidRDefault="00CC6156" w:rsidP="00BB22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7559" w:rsidRPr="00A5503E" w:rsidRDefault="002E7559" w:rsidP="00BB22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0B4B" w:rsidRPr="00A5503E" w:rsidRDefault="00350B4B" w:rsidP="00BB2279">
      <w:pPr>
        <w:pStyle w:val="Prrafodelista"/>
        <w:spacing w:line="276" w:lineRule="auto"/>
        <w:ind w:left="0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BB2279" w:rsidRPr="00A5503E" w:rsidRDefault="00BB2279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2279" w:rsidRPr="00A5503E" w:rsidRDefault="00BB2279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72E5" w:rsidRPr="00A5503E" w:rsidRDefault="00ED72E5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72E5" w:rsidRPr="00A5503E" w:rsidRDefault="00ED72E5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4099" w:rsidRPr="00A5503E" w:rsidRDefault="00084099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7AD0" w:rsidRPr="00A5503E" w:rsidRDefault="00017AD0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7AD0" w:rsidRPr="00A5503E" w:rsidRDefault="00017AD0" w:rsidP="00BB227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5503E">
        <w:rPr>
          <w:rFonts w:asciiTheme="minorHAnsi" w:hAnsiTheme="minorHAnsi" w:cstheme="minorHAnsi"/>
          <w:b/>
          <w:sz w:val="22"/>
          <w:szCs w:val="22"/>
        </w:rPr>
        <w:t>ARANTZA TAPIA OTAEGUI</w:t>
      </w:r>
      <w:bookmarkStart w:id="0" w:name="_GoBack"/>
      <w:bookmarkEnd w:id="0"/>
    </w:p>
    <w:p w:rsidR="00017AD0" w:rsidRDefault="00017AD0" w:rsidP="00BB227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03E">
        <w:rPr>
          <w:rFonts w:asciiTheme="minorHAnsi" w:hAnsiTheme="minorHAnsi" w:cstheme="minorHAnsi"/>
          <w:b/>
          <w:sz w:val="22"/>
          <w:szCs w:val="22"/>
        </w:rPr>
        <w:t>EKONOMIAREN GARAPENEKO ETA AZPIEGITURETAKO SAILBURUA</w:t>
      </w:r>
    </w:p>
    <w:p w:rsidR="00AC0AF0" w:rsidRPr="003D613E" w:rsidRDefault="00AC0AF0" w:rsidP="00AC0AF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D613E">
        <w:rPr>
          <w:rFonts w:asciiTheme="minorHAnsi" w:eastAsia="Calibri" w:hAnsiTheme="minorHAnsi" w:cstheme="minorHAnsi"/>
          <w:b/>
          <w:sz w:val="22"/>
          <w:szCs w:val="22"/>
        </w:rPr>
        <w:t>CONSEJERA DE DESARROLLO ECONÓMICO E INFRAESTRCUTURAS</w:t>
      </w:r>
    </w:p>
    <w:p w:rsidR="00C715E5" w:rsidRPr="00A5503E" w:rsidRDefault="00C715E5" w:rsidP="00BB227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5B79B9" w:rsidRPr="00A5503E" w:rsidRDefault="005B79B9" w:rsidP="00BB22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6156" w:rsidRPr="00A5503E" w:rsidRDefault="00CC6156" w:rsidP="00BB227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AC0AF0" w:rsidRDefault="00AC0AF0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sz w:val="22"/>
          <w:szCs w:val="22"/>
          <w:lang w:val="pt-PT"/>
        </w:rPr>
        <w:br w:type="page"/>
      </w:r>
    </w:p>
    <w:p w:rsidR="00000987" w:rsidRDefault="00000987" w:rsidP="00BB227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0AF0" w:rsidTr="00AC0AF0">
        <w:tc>
          <w:tcPr>
            <w:tcW w:w="4814" w:type="dxa"/>
          </w:tcPr>
          <w:p w:rsidR="00AC0AF0" w:rsidRPr="00A5503E" w:rsidRDefault="00AC0AF0" w:rsidP="00AC0A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ERANSKINA</w:t>
            </w:r>
          </w:p>
          <w:p w:rsidR="00AC0AF0" w:rsidRPr="00A5503E" w:rsidRDefault="00AC0AF0" w:rsidP="00AC0A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Araugintzako ekimenaren bidez konpondu nahi diren arazoak. 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A550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Euskal Autonomia Erkidegoaren lurralde-eremurako, maiatzaren 28ko 115/2002 Dekretuan, energia eolikotik abiatuta, Euskal Autonomia Erkidegoan dauden parke eolikoen bitartez, energia elektrikoa </w:t>
            </w: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ekoizteko instalazioak baimentzeko prozedura ezarri zen.</w:t>
            </w:r>
          </w:p>
          <w:p w:rsidR="00AC0AF0" w:rsidRPr="00A550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0AF0" w:rsidRPr="00A550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Hala ere, onartu zenetik igarotako denboraren eta esparru horretan ematen den aurrerapen teknologiko iraunkorraren ondorioz, aurretik aipaturiko esparru juridikoa nabarmen gaindituta geratu da.</w:t>
            </w:r>
          </w:p>
          <w:p w:rsidR="00AC0AF0" w:rsidRPr="00A5503E" w:rsidRDefault="00AC0AF0" w:rsidP="00AC0A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Aurrekoari erreparatuta, araubidea arauen aldaketetara egokitzea eta, araudi berria hala ahalbidetzen duenean, parke eolikoen baimen-prozedura sinplifikatu eta bizkortzea ahalbidetuko duen dekretu bat egitea proposatu da.</w:t>
            </w: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2.- Ekimena onartzeko premia eta aukera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Beharrezkoa da Euskal Autonomia Erkidegoan dauden parke eolikoen baimen-prozedura sektore elektrikoaren abenduaren 26ko 24/2013 Legean eta ingurumen-inpaktuaren ebaluazioari buruzko abenduaren 9ko 21/2013 Legean ezartzen denera egokitzea, prozesuaren funtzionaltasuna, izapideen sinplifikazioa eta sustatzaileen segurtasun juridikoa bermatzeko.</w:t>
            </w: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Honelako prozeduren izapidetzean jasotako esperientziaren arabera, eta esparru honetan eraginkortasunik eta segurtasun juridikorik handienarekin jarduteko, beharrezkoa da, dudarik gabe, administrazio-prozedurak sinplifikatzea. 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Bestalde, esparru </w:t>
            </w:r>
            <w:proofErr w:type="spellStart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baimentzailea</w:t>
            </w:r>
            <w:proofErr w:type="spellEnd"/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 berrantolatu ostean, honelako prozeduretako izapidetzeetan baliabide elektronikoak erabiltzeak aipaturiko sinplifikazioan eta bizkortzean aurrera egitea ahalbidetuko du.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3.- Egin nahi den arau-proiektuaren xedeak</w:t>
            </w:r>
          </w:p>
          <w:p w:rsidR="00AC0AF0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Araudi berri honen helburuak honako hauek dira: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  <w:p w:rsidR="00AC0AF0" w:rsidRPr="00A550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Euskal Autonomia Erkidegoan parke eolikoen ezarpena sustatzea.</w:t>
            </w:r>
          </w:p>
          <w:p w:rsidR="00AC0AF0" w:rsidRPr="00A550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 xml:space="preserve">Izapidetzeak murriztu eta arrazionalizatzea eta administratuek administrazioarekin dute harremanean teknologia berriak txertatzea. </w:t>
            </w:r>
          </w:p>
          <w:p w:rsidR="00AC0AF0" w:rsidRPr="00A550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Sustatzaileei segurtasun juridiko handiagoa eskaintzea.</w:t>
            </w:r>
          </w:p>
          <w:p w:rsidR="00AC0AF0" w:rsidRPr="00A550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Baimen-prozedurei buruzko araubide autonomikoa esparru juridiko berrira egokitzea.</w:t>
            </w:r>
          </w:p>
          <w:p w:rsidR="00AC0AF0" w:rsidRPr="00A5503E" w:rsidRDefault="00AC0AF0" w:rsidP="00AC0AF0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Horretarako:</w:t>
            </w:r>
          </w:p>
          <w:p w:rsidR="00AC0AF0" w:rsidRPr="00A5503E" w:rsidRDefault="00AC0AF0" w:rsidP="00AC0AF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Parke eolikoaren eta horren aldaketaren eta berrindartzearen kontzeptuak zehaztuko dira.</w:t>
            </w:r>
          </w:p>
          <w:p w:rsidR="00AC0AF0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Honelako instalazioen administrazio-baimenen prozedura arautuko da, parke eolikoen aldaketa ez-funtsezkoei tratamendu espezifiko bat emanez.</w:t>
            </w:r>
          </w:p>
          <w:p w:rsidR="00AC0AF0" w:rsidRPr="00A5503E" w:rsidRDefault="00AC0AF0" w:rsidP="00AC0AF0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Zerbitzu- eta mantentze-bermeak eta lurrak ordezteko bermeak konfiguratuko dira.</w:t>
            </w:r>
          </w:p>
          <w:p w:rsidR="00AC0AF0" w:rsidRDefault="00AC0AF0" w:rsidP="00AC0AF0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Parke eolikoen ikuskapenen erregimena arautuko da.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b/>
                <w:sz w:val="22"/>
                <w:szCs w:val="22"/>
              </w:rPr>
              <w:t>4.- Egon daitezkeen ordezko irtenbide erregulatzaileak edo ez-erregulatzaileak</w:t>
            </w:r>
          </w:p>
          <w:p w:rsidR="00AC0AF0" w:rsidRPr="00A550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AC0AF0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503E">
              <w:rPr>
                <w:rFonts w:asciiTheme="minorHAnsi" w:hAnsiTheme="minorHAnsi" w:cstheme="minorHAnsi"/>
                <w:sz w:val="22"/>
                <w:szCs w:val="22"/>
              </w:rPr>
              <w:t>Ez dago egin nahi den arauaz bestelako aukera erregulatzailerik, eta ez da aurkitu bestelako aukera ez-erregulatzaile egokirik.</w:t>
            </w:r>
          </w:p>
        </w:tc>
        <w:tc>
          <w:tcPr>
            <w:tcW w:w="4814" w:type="dxa"/>
          </w:tcPr>
          <w:p w:rsidR="00AC0AF0" w:rsidRPr="003D613E" w:rsidRDefault="00AC0AF0" w:rsidP="00AC0A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3D613E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ANEXO</w:t>
            </w:r>
          </w:p>
          <w:p w:rsidR="00AC0AF0" w:rsidRPr="003D613E" w:rsidRDefault="00AC0AF0" w:rsidP="00AC0A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1.-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Problemas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pretenden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solucionar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con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esta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iniciativa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normativa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3D61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Para el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ámbito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territorial de la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del País Vasco, el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Decreto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115/2002, de 28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estableció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para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instalaciones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producción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energía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eléctrica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partir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energía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través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ámbito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del País Vasco.</w:t>
            </w:r>
          </w:p>
          <w:p w:rsidR="00AC0AF0" w:rsidRPr="003D61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Sin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embargo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tiempo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transcurrido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desde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su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aprobación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junto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con el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constante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avance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tecnológico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produce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este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campo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, ha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determinado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marco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jurídico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antes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citado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haya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quedado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ampliamente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superado</w:t>
            </w:r>
            <w:proofErr w:type="spellEnd"/>
            <w:r w:rsidRPr="003D613E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A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vista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cuanto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antecede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propone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elaboración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un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Decreto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permitirá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adaptación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regulación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cambios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normativos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simplificar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agilizar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aquellos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supuestos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lo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permita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nueva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normativa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2.-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Necesidad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oportunidad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de su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aprobación</w:t>
            </w:r>
            <w:proofErr w:type="spellEnd"/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necesario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adecuar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situados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Comunidad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Autónoma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del País Vasco a lo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dispuesto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Ley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24/2013, de 26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diciembre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del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Sector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Eléctrico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Ley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21/2013, de 9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diciembre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evaluación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impacto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ambiental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con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finalidad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asegurar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funcionalidad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proceso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simplificación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tramites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seguridad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jurídica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promotores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acuerdo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con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experiencia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adquirida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tramitación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este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tipo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procedimientos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con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finalidad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actuar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mayor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eficacia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seguridad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jurídica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este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ámbito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necesaria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sin duda, una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simplificación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procedimientos</w:t>
            </w:r>
            <w:proofErr w:type="spellEnd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administrativos</w:t>
            </w:r>
            <w:proofErr w:type="spellEnd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Por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otra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parte, una vez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reorganizado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marco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autorizatorio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, 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establecimiento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utilización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medios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electrónicos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tramitaciones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este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tipo de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procedimientos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permitirá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continuar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avanzando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su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agilización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3.-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Objetivos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proyecto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normativo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se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pretende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elaborar</w:t>
            </w:r>
            <w:proofErr w:type="spellEnd"/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El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objetivo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perseguido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con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esta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nueva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regulación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es: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  <w:p w:rsidR="00AC0AF0" w:rsidRPr="003D61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Impulsar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implantación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País Vasco.</w:t>
            </w:r>
          </w:p>
          <w:p w:rsidR="00AC0AF0" w:rsidRPr="003D61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Reducción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racionalización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tramitaciones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así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incorporación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nuevas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tecnologías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relación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administrados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con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administración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C0AF0" w:rsidRPr="003D61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Dotar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seguridad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promotores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Adaptación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regulación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autonómica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relativa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autorizatorios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nuevo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marco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jurídico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Par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ello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C0AF0" w:rsidRPr="003D613E" w:rsidRDefault="00AC0AF0" w:rsidP="00AC0AF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determinarán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conceptos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modificación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repotenciación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mismo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regulará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autorización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administrativa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este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tipo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instalaciones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dando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tratamiento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específico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modificaciones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sustanciales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configurarán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garantías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servicio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mantenimiento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y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restitución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terrenos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regulará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régimen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inspecciones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de los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parques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eólicos</w:t>
            </w:r>
            <w:proofErr w:type="spellEnd"/>
            <w:r w:rsidRPr="003D61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4.-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Posibles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soluciones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alternativas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regulatorias</w:t>
            </w:r>
            <w:proofErr w:type="spellEnd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y no </w:t>
            </w:r>
            <w:proofErr w:type="spellStart"/>
            <w:r w:rsidRPr="003D613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regulatorias</w:t>
            </w:r>
            <w:proofErr w:type="spellEnd"/>
          </w:p>
          <w:p w:rsidR="00AC0AF0" w:rsidRPr="003D613E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AC0AF0" w:rsidRPr="00AC0AF0" w:rsidRDefault="00AC0AF0" w:rsidP="00AC0AF0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hay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otra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alternativa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regulatoria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diferente a la norma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que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pretende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elaborar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 no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se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encuentran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soluciones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alternativas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regulatorias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satisfactorias</w:t>
            </w:r>
            <w:proofErr w:type="spellEnd"/>
            <w:r w:rsidRPr="003D613E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</w:tr>
    </w:tbl>
    <w:p w:rsidR="00AC0AF0" w:rsidRPr="00A5503E" w:rsidRDefault="00AC0AF0" w:rsidP="00BB227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</w:p>
    <w:sectPr w:rsidR="00AC0AF0" w:rsidRPr="00A5503E" w:rsidSect="00A55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76" w:footer="5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83" w:rsidRDefault="00B37B83">
      <w:r>
        <w:separator/>
      </w:r>
    </w:p>
  </w:endnote>
  <w:endnote w:type="continuationSeparator" w:id="0">
    <w:p w:rsidR="00B37B83" w:rsidRDefault="00B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FA" w:rsidRDefault="00354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FA" w:rsidRDefault="00354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E" w:rsidRDefault="00A5503E" w:rsidP="00A5503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Donostia-San </w:t>
    </w:r>
    <w:proofErr w:type="spellStart"/>
    <w:r>
      <w:rPr>
        <w:rFonts w:ascii="Arial" w:hAnsi="Arial"/>
        <w:sz w:val="13"/>
      </w:rPr>
      <w:t>sebastián</w:t>
    </w:r>
    <w:proofErr w:type="spellEnd"/>
    <w:r>
      <w:rPr>
        <w:rFonts w:ascii="Arial" w:hAnsi="Arial"/>
        <w:sz w:val="13"/>
      </w:rPr>
      <w:t>, nº 1 – 01010-VITORIA-GASTEIZ</w:t>
    </w:r>
  </w:p>
  <w:p w:rsidR="00A5503E" w:rsidRPr="00A5503E" w:rsidRDefault="00A5503E" w:rsidP="00A5503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9A10EA">
      <w:rPr>
        <w:rFonts w:ascii="Arial" w:hAnsi="Arial"/>
        <w:sz w:val="13"/>
        <w:lang w:val="en-US"/>
      </w:rPr>
      <w:t>Tef</w:t>
    </w:r>
    <w:proofErr w:type="spellEnd"/>
    <w:r w:rsidRPr="009A10EA">
      <w:rPr>
        <w:rFonts w:ascii="Arial" w:hAnsi="Arial"/>
        <w:sz w:val="13"/>
        <w:lang w:val="en-US"/>
      </w:rPr>
      <w:t>. 945 018 218 – e-mail demadi@e</w:t>
    </w:r>
    <w:r>
      <w:rPr>
        <w:rFonts w:ascii="Arial" w:hAnsi="Arial"/>
        <w:sz w:val="13"/>
        <w:lang w:val="en-US"/>
      </w:rPr>
      <w:t>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83" w:rsidRDefault="00B37B83">
      <w:r>
        <w:separator/>
      </w:r>
    </w:p>
  </w:footnote>
  <w:footnote w:type="continuationSeparator" w:id="0">
    <w:p w:rsidR="00B37B83" w:rsidRDefault="00B3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FA" w:rsidRDefault="00354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6" w:rsidRPr="00220E86" w:rsidRDefault="00A5503E" w:rsidP="00A5503E">
    <w:pPr>
      <w:pStyle w:val="Encabezado"/>
      <w:tabs>
        <w:tab w:val="clear" w:pos="4819"/>
        <w:tab w:val="clear" w:pos="9071"/>
        <w:tab w:val="left" w:pos="3636"/>
      </w:tabs>
      <w:jc w:val="center"/>
    </w:pPr>
    <w:r>
      <w:rPr>
        <w:noProof/>
      </w:rPr>
      <w:object w:dxaOrig="11549" w:dyaOrig="1410" w14:anchorId="24560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64069255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E" w:rsidRDefault="00A5503E" w:rsidP="00A550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7F5D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75pt" fillcolor="window">
          <v:imagedata r:id="rId1" o:title=""/>
        </v:shape>
        <o:OLEObject Type="Embed" ProgID="MSPhotoEd.3" ShapeID="_x0000_i1026" DrawAspect="Content" ObjectID="_1640692556" r:id="rId2"/>
      </w:object>
    </w:r>
  </w:p>
  <w:p w:rsidR="00A5503E" w:rsidRDefault="00A5503E" w:rsidP="00A550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62DE9A" wp14:editId="5C904BFF">
              <wp:simplePos x="0" y="0"/>
              <wp:positionH relativeFrom="page">
                <wp:posOffset>1965960</wp:posOffset>
              </wp:positionH>
              <wp:positionV relativeFrom="page">
                <wp:posOffset>777240</wp:posOffset>
              </wp:positionV>
              <wp:extent cx="1768475" cy="373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03E" w:rsidRPr="00BC051D" w:rsidRDefault="00A5503E" w:rsidP="00A5503E">
                          <w:pPr>
                            <w:pStyle w:val="Ttulo2"/>
                            <w:spacing w:after="35"/>
                          </w:pPr>
                          <w:r>
                            <w:t>EKONOMIAREN GARAPEN</w:t>
                          </w:r>
                          <w:r>
                            <w:br/>
                            <w:t xml:space="preserve">ETA </w:t>
                          </w:r>
                          <w:r w:rsidR="00354DFA">
                            <w:t>AZPIEGITURA</w:t>
                          </w:r>
                          <w:r w:rsidRPr="00BC051D"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2D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pt;margin-top:61.2pt;width:139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" o:allowincell="f" filled="f" stroked="f">
              <v:textbox>
                <w:txbxContent>
                  <w:p w:rsidR="00A5503E" w:rsidRPr="00BC051D" w:rsidRDefault="00A5503E" w:rsidP="00A5503E">
                    <w:pPr>
                      <w:pStyle w:val="Ttulo2"/>
                      <w:spacing w:after="35"/>
                    </w:pPr>
                    <w:r>
                      <w:t>EKONOMIAREN GARAPEN</w:t>
                    </w:r>
                    <w:r>
                      <w:br/>
                      <w:t xml:space="preserve">ETA </w:t>
                    </w:r>
                    <w:r w:rsidR="00354DFA">
                      <w:t>AZPIEGITURA</w:t>
                    </w:r>
                    <w:bookmarkStart w:id="1" w:name="_GoBack"/>
                    <w:bookmarkEnd w:id="1"/>
                    <w:r w:rsidRPr="00BC051D">
                      <w:t xml:space="preserve"> SAILA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8FDFC" wp14:editId="3E4AF470">
              <wp:simplePos x="0" y="0"/>
              <wp:positionH relativeFrom="page">
                <wp:posOffset>4069080</wp:posOffset>
              </wp:positionH>
              <wp:positionV relativeFrom="page">
                <wp:posOffset>777240</wp:posOffset>
              </wp:positionV>
              <wp:extent cx="2009775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03E" w:rsidRPr="00BC051D" w:rsidRDefault="00A5503E" w:rsidP="00A5503E">
                          <w:pPr>
                            <w:pStyle w:val="Ttulo2"/>
                            <w:spacing w:after="35"/>
                            <w:rPr>
                              <w:spacing w:val="-8"/>
                            </w:rPr>
                          </w:pPr>
                          <w:r w:rsidRPr="0052505C">
                            <w:t>DEPARTAMENTO DE DESARROLLO</w:t>
                          </w:r>
                          <w:r w:rsidRPr="00BC051D">
                            <w:rPr>
                              <w:spacing w:val="-8"/>
                            </w:rPr>
                            <w:br/>
                          </w:r>
                          <w:r>
                            <w:t xml:space="preserve">ECONÓMICO </w:t>
                          </w:r>
                          <w:r w:rsidR="00354DFA">
                            <w:t xml:space="preserve"> E INFRAESTRUCTURAS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8FDFC" id="Text Box 2" o:spid="_x0000_s1027" type="#_x0000_t202" style="position:absolute;left:0;text-align:left;margin-left:320.4pt;margin-top:61.2pt;width:15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+VuA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IVMez2QSjAmzXJIoD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" o:allowincell="f" filled="f" stroked="f">
              <v:textbox>
                <w:txbxContent>
                  <w:p w:rsidR="00A5503E" w:rsidRPr="00BC051D" w:rsidRDefault="00A5503E" w:rsidP="00A5503E">
                    <w:pPr>
                      <w:pStyle w:val="Ttulo2"/>
                      <w:spacing w:after="35"/>
                      <w:rPr>
                        <w:spacing w:val="-8"/>
                      </w:rPr>
                    </w:pPr>
                    <w:r w:rsidRPr="0052505C">
                      <w:t>DEPARTAMENTO DE DESARROLLO</w:t>
                    </w:r>
                    <w:r w:rsidRPr="00BC051D">
                      <w:rPr>
                        <w:spacing w:val="-8"/>
                      </w:rPr>
                      <w:br/>
                    </w:r>
                    <w:r>
                      <w:t xml:space="preserve">ECONÓMICO </w:t>
                    </w:r>
                    <w:r w:rsidR="00354DFA">
                      <w:t xml:space="preserve"> E INFRAESTRUCTURAS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503E" w:rsidRDefault="00A5503E" w:rsidP="00A550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5503E" w:rsidRDefault="00A5503E" w:rsidP="00A550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5503E" w:rsidRDefault="00A5503E" w:rsidP="00A550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5503E" w:rsidRDefault="00A550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0B"/>
    <w:multiLevelType w:val="hybridMultilevel"/>
    <w:tmpl w:val="92F07020"/>
    <w:lvl w:ilvl="0" w:tplc="C4964A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BC3C45"/>
    <w:multiLevelType w:val="hybridMultilevel"/>
    <w:tmpl w:val="AD14713E"/>
    <w:lvl w:ilvl="0" w:tplc="5690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5408"/>
    <w:multiLevelType w:val="hybridMultilevel"/>
    <w:tmpl w:val="ECE226FC"/>
    <w:lvl w:ilvl="0" w:tplc="04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D17AB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F4010E"/>
    <w:multiLevelType w:val="hybridMultilevel"/>
    <w:tmpl w:val="373A3784"/>
    <w:lvl w:ilvl="0" w:tplc="C43494A8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303A5168"/>
    <w:multiLevelType w:val="hybridMultilevel"/>
    <w:tmpl w:val="CF2A20E6"/>
    <w:lvl w:ilvl="0" w:tplc="EA66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02488"/>
    <w:multiLevelType w:val="hybridMultilevel"/>
    <w:tmpl w:val="DC4E192E"/>
    <w:lvl w:ilvl="0" w:tplc="CA9E9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A3E52"/>
    <w:multiLevelType w:val="hybridMultilevel"/>
    <w:tmpl w:val="4274BC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C57"/>
    <w:multiLevelType w:val="hybridMultilevel"/>
    <w:tmpl w:val="393E7708"/>
    <w:lvl w:ilvl="0" w:tplc="C4964A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A870A98"/>
    <w:multiLevelType w:val="hybridMultilevel"/>
    <w:tmpl w:val="3932BD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23DD"/>
    <w:multiLevelType w:val="hybridMultilevel"/>
    <w:tmpl w:val="3446E644"/>
    <w:lvl w:ilvl="0" w:tplc="CA9E9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B7878"/>
    <w:multiLevelType w:val="hybridMultilevel"/>
    <w:tmpl w:val="56E86A5E"/>
    <w:lvl w:ilvl="0" w:tplc="040A0003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cs="Courier New" w:hint="default"/>
        <w:color w:val="auto"/>
      </w:rPr>
    </w:lvl>
    <w:lvl w:ilvl="1" w:tplc="8DE863F4">
      <w:numFmt w:val="bullet"/>
      <w:lvlText w:val="-"/>
      <w:lvlJc w:val="left"/>
      <w:pPr>
        <w:tabs>
          <w:tab w:val="num" w:pos="4072"/>
        </w:tabs>
        <w:ind w:left="4072" w:hanging="360"/>
      </w:pPr>
      <w:rPr>
        <w:rFonts w:ascii="Tahoma" w:eastAsia="Times New Roman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672"/>
        </w:tabs>
        <w:ind w:left="76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8392"/>
        </w:tabs>
        <w:ind w:left="83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9112"/>
        </w:tabs>
        <w:ind w:left="9112" w:hanging="360"/>
      </w:pPr>
      <w:rPr>
        <w:rFonts w:ascii="Wingdings" w:hAnsi="Wingdings" w:hint="default"/>
      </w:rPr>
    </w:lvl>
  </w:abstractNum>
  <w:abstractNum w:abstractNumId="12" w15:restartNumberingAfterBreak="0">
    <w:nsid w:val="46E877EE"/>
    <w:multiLevelType w:val="hybridMultilevel"/>
    <w:tmpl w:val="B7BC2ACA"/>
    <w:lvl w:ilvl="0" w:tplc="893E9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2106CDF"/>
    <w:multiLevelType w:val="hybridMultilevel"/>
    <w:tmpl w:val="DD22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07E43"/>
    <w:multiLevelType w:val="hybridMultilevel"/>
    <w:tmpl w:val="2C843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844A2"/>
    <w:multiLevelType w:val="hybridMultilevel"/>
    <w:tmpl w:val="24D2DB1C"/>
    <w:lvl w:ilvl="0" w:tplc="C4964A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0741399"/>
    <w:multiLevelType w:val="hybridMultilevel"/>
    <w:tmpl w:val="EE806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112F"/>
    <w:multiLevelType w:val="hybridMultilevel"/>
    <w:tmpl w:val="E95AAEF4"/>
    <w:lvl w:ilvl="0" w:tplc="CA9E9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46D85"/>
    <w:multiLevelType w:val="hybridMultilevel"/>
    <w:tmpl w:val="0824B414"/>
    <w:lvl w:ilvl="0" w:tplc="C4964A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3D06551"/>
    <w:multiLevelType w:val="hybridMultilevel"/>
    <w:tmpl w:val="83F4A81C"/>
    <w:lvl w:ilvl="0" w:tplc="040A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  <w:color w:val="auto"/>
      </w:rPr>
    </w:lvl>
    <w:lvl w:ilvl="1" w:tplc="8DE863F4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ahoma" w:eastAsia="Times New Roman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647D4B43"/>
    <w:multiLevelType w:val="hybridMultilevel"/>
    <w:tmpl w:val="8CF077F2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64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7B15"/>
    <w:multiLevelType w:val="hybridMultilevel"/>
    <w:tmpl w:val="40BE43E4"/>
    <w:lvl w:ilvl="0" w:tplc="C4964A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F002F37"/>
    <w:multiLevelType w:val="hybridMultilevel"/>
    <w:tmpl w:val="B34CFCCA"/>
    <w:lvl w:ilvl="0" w:tplc="C43494A8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cs="Symbol" w:hint="default"/>
        <w:color w:val="auto"/>
      </w:rPr>
    </w:lvl>
    <w:lvl w:ilvl="1" w:tplc="8DE863F4"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ahoma" w:eastAsia="Times New Roman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75D40F94"/>
    <w:multiLevelType w:val="hybridMultilevel"/>
    <w:tmpl w:val="E4729D28"/>
    <w:lvl w:ilvl="0" w:tplc="C43494A8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cs="Symbol" w:hint="default"/>
        <w:color w:val="auto"/>
      </w:rPr>
    </w:lvl>
    <w:lvl w:ilvl="1" w:tplc="8DE863F4"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ahoma" w:eastAsia="Times New Roman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4" w15:restartNumberingAfterBreak="0">
    <w:nsid w:val="7EB53418"/>
    <w:multiLevelType w:val="hybridMultilevel"/>
    <w:tmpl w:val="C168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B6E3C"/>
    <w:multiLevelType w:val="hybridMultilevel"/>
    <w:tmpl w:val="601ED876"/>
    <w:lvl w:ilvl="0" w:tplc="5690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8"/>
  </w:num>
  <w:num w:numId="5">
    <w:abstractNumId w:val="21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22"/>
  </w:num>
  <w:num w:numId="13">
    <w:abstractNumId w:val="23"/>
  </w:num>
  <w:num w:numId="14">
    <w:abstractNumId w:val="4"/>
  </w:num>
  <w:num w:numId="15">
    <w:abstractNumId w:val="11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5"/>
  </w:num>
  <w:num w:numId="21">
    <w:abstractNumId w:val="2"/>
  </w:num>
  <w:num w:numId="22">
    <w:abstractNumId w:val="16"/>
  </w:num>
  <w:num w:numId="23">
    <w:abstractNumId w:val="9"/>
  </w:num>
  <w:num w:numId="24">
    <w:abstractNumId w:val="2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3"/>
    <w:rsid w:val="00000987"/>
    <w:rsid w:val="00011110"/>
    <w:rsid w:val="00017AD0"/>
    <w:rsid w:val="00017DE8"/>
    <w:rsid w:val="000201D0"/>
    <w:rsid w:val="000217DB"/>
    <w:rsid w:val="00030A96"/>
    <w:rsid w:val="000319E8"/>
    <w:rsid w:val="000379E6"/>
    <w:rsid w:val="00057610"/>
    <w:rsid w:val="00060280"/>
    <w:rsid w:val="000602DF"/>
    <w:rsid w:val="0006030A"/>
    <w:rsid w:val="000632BF"/>
    <w:rsid w:val="00067B5D"/>
    <w:rsid w:val="00072526"/>
    <w:rsid w:val="00084099"/>
    <w:rsid w:val="000861AB"/>
    <w:rsid w:val="0009276A"/>
    <w:rsid w:val="00095381"/>
    <w:rsid w:val="000A1BF4"/>
    <w:rsid w:val="000A32C4"/>
    <w:rsid w:val="000A471A"/>
    <w:rsid w:val="000A7E6D"/>
    <w:rsid w:val="000B3A4D"/>
    <w:rsid w:val="000D170F"/>
    <w:rsid w:val="000D49A6"/>
    <w:rsid w:val="000E3AB4"/>
    <w:rsid w:val="000E4D5E"/>
    <w:rsid w:val="000E5A61"/>
    <w:rsid w:val="000F1D9E"/>
    <w:rsid w:val="001001D6"/>
    <w:rsid w:val="00102634"/>
    <w:rsid w:val="0010793D"/>
    <w:rsid w:val="00113638"/>
    <w:rsid w:val="00117F79"/>
    <w:rsid w:val="001236C3"/>
    <w:rsid w:val="0012457E"/>
    <w:rsid w:val="001444F9"/>
    <w:rsid w:val="00155E7B"/>
    <w:rsid w:val="00156234"/>
    <w:rsid w:val="00181773"/>
    <w:rsid w:val="001828D9"/>
    <w:rsid w:val="00186D25"/>
    <w:rsid w:val="001B408F"/>
    <w:rsid w:val="001B5EB0"/>
    <w:rsid w:val="001C60A6"/>
    <w:rsid w:val="001D4208"/>
    <w:rsid w:val="001E1B67"/>
    <w:rsid w:val="001E260E"/>
    <w:rsid w:val="00207DB8"/>
    <w:rsid w:val="00210041"/>
    <w:rsid w:val="00215FA9"/>
    <w:rsid w:val="00225A35"/>
    <w:rsid w:val="0024472E"/>
    <w:rsid w:val="002469FE"/>
    <w:rsid w:val="00254565"/>
    <w:rsid w:val="00263C5F"/>
    <w:rsid w:val="0028044E"/>
    <w:rsid w:val="0028653D"/>
    <w:rsid w:val="002916BD"/>
    <w:rsid w:val="00292081"/>
    <w:rsid w:val="0029416A"/>
    <w:rsid w:val="002951AB"/>
    <w:rsid w:val="002B5766"/>
    <w:rsid w:val="002C0027"/>
    <w:rsid w:val="002C450E"/>
    <w:rsid w:val="002D2939"/>
    <w:rsid w:val="002D5A55"/>
    <w:rsid w:val="002E2A4C"/>
    <w:rsid w:val="002E41F9"/>
    <w:rsid w:val="002E4466"/>
    <w:rsid w:val="002E7559"/>
    <w:rsid w:val="002F11A5"/>
    <w:rsid w:val="002F3DA8"/>
    <w:rsid w:val="0030355B"/>
    <w:rsid w:val="0030573F"/>
    <w:rsid w:val="00305D86"/>
    <w:rsid w:val="0030759D"/>
    <w:rsid w:val="003076F7"/>
    <w:rsid w:val="00310BC4"/>
    <w:rsid w:val="00313DB3"/>
    <w:rsid w:val="003155B8"/>
    <w:rsid w:val="00327A7F"/>
    <w:rsid w:val="003337E0"/>
    <w:rsid w:val="0033388C"/>
    <w:rsid w:val="00342309"/>
    <w:rsid w:val="00344E7D"/>
    <w:rsid w:val="00345AFC"/>
    <w:rsid w:val="0034654A"/>
    <w:rsid w:val="00350B4B"/>
    <w:rsid w:val="00354DFA"/>
    <w:rsid w:val="00361534"/>
    <w:rsid w:val="00372BF4"/>
    <w:rsid w:val="00387F47"/>
    <w:rsid w:val="00390A85"/>
    <w:rsid w:val="00394DE2"/>
    <w:rsid w:val="003A6154"/>
    <w:rsid w:val="003B1042"/>
    <w:rsid w:val="003B7B14"/>
    <w:rsid w:val="003C19FF"/>
    <w:rsid w:val="003C1A0C"/>
    <w:rsid w:val="003D2002"/>
    <w:rsid w:val="003D30E3"/>
    <w:rsid w:val="003E31FC"/>
    <w:rsid w:val="003E75D2"/>
    <w:rsid w:val="003F25CA"/>
    <w:rsid w:val="003F2654"/>
    <w:rsid w:val="003F44F6"/>
    <w:rsid w:val="00412EDF"/>
    <w:rsid w:val="00414787"/>
    <w:rsid w:val="004170A6"/>
    <w:rsid w:val="00431692"/>
    <w:rsid w:val="00432B3E"/>
    <w:rsid w:val="00443C98"/>
    <w:rsid w:val="00445666"/>
    <w:rsid w:val="00450656"/>
    <w:rsid w:val="00455901"/>
    <w:rsid w:val="00464006"/>
    <w:rsid w:val="00467F2B"/>
    <w:rsid w:val="00474447"/>
    <w:rsid w:val="00475CC5"/>
    <w:rsid w:val="0048641F"/>
    <w:rsid w:val="004866F7"/>
    <w:rsid w:val="00492AFC"/>
    <w:rsid w:val="004A5507"/>
    <w:rsid w:val="004B2C47"/>
    <w:rsid w:val="004B5783"/>
    <w:rsid w:val="004C1599"/>
    <w:rsid w:val="004C752C"/>
    <w:rsid w:val="004D574A"/>
    <w:rsid w:val="004E3AF9"/>
    <w:rsid w:val="004E4616"/>
    <w:rsid w:val="004F0DD2"/>
    <w:rsid w:val="004F61C2"/>
    <w:rsid w:val="00501BFA"/>
    <w:rsid w:val="00503BC2"/>
    <w:rsid w:val="00530CD8"/>
    <w:rsid w:val="005364A4"/>
    <w:rsid w:val="00543108"/>
    <w:rsid w:val="00544508"/>
    <w:rsid w:val="00545C74"/>
    <w:rsid w:val="00546EED"/>
    <w:rsid w:val="0055037F"/>
    <w:rsid w:val="00557402"/>
    <w:rsid w:val="00574FD5"/>
    <w:rsid w:val="00576331"/>
    <w:rsid w:val="00583DB6"/>
    <w:rsid w:val="0058676C"/>
    <w:rsid w:val="005A02EC"/>
    <w:rsid w:val="005A5220"/>
    <w:rsid w:val="005B1578"/>
    <w:rsid w:val="005B41C8"/>
    <w:rsid w:val="005B7656"/>
    <w:rsid w:val="005B79B9"/>
    <w:rsid w:val="005C0F39"/>
    <w:rsid w:val="005C2110"/>
    <w:rsid w:val="005C3F75"/>
    <w:rsid w:val="005D3051"/>
    <w:rsid w:val="005D3286"/>
    <w:rsid w:val="005E4AEC"/>
    <w:rsid w:val="005E5139"/>
    <w:rsid w:val="005E61F1"/>
    <w:rsid w:val="005F647C"/>
    <w:rsid w:val="00604297"/>
    <w:rsid w:val="00611908"/>
    <w:rsid w:val="00612225"/>
    <w:rsid w:val="00615F46"/>
    <w:rsid w:val="00620D01"/>
    <w:rsid w:val="00621A1A"/>
    <w:rsid w:val="0063168A"/>
    <w:rsid w:val="0063719F"/>
    <w:rsid w:val="00637406"/>
    <w:rsid w:val="00641847"/>
    <w:rsid w:val="006504D8"/>
    <w:rsid w:val="006528EC"/>
    <w:rsid w:val="00656A52"/>
    <w:rsid w:val="00656EB2"/>
    <w:rsid w:val="006607E1"/>
    <w:rsid w:val="00661646"/>
    <w:rsid w:val="00662B4C"/>
    <w:rsid w:val="006670F9"/>
    <w:rsid w:val="00684A4E"/>
    <w:rsid w:val="00687746"/>
    <w:rsid w:val="006943C3"/>
    <w:rsid w:val="006948B5"/>
    <w:rsid w:val="006B377D"/>
    <w:rsid w:val="006B4BA6"/>
    <w:rsid w:val="006C3F56"/>
    <w:rsid w:val="006D2871"/>
    <w:rsid w:val="006E0966"/>
    <w:rsid w:val="006E203E"/>
    <w:rsid w:val="006E5FC7"/>
    <w:rsid w:val="006E69F6"/>
    <w:rsid w:val="006E7E86"/>
    <w:rsid w:val="006F35EB"/>
    <w:rsid w:val="00704AD7"/>
    <w:rsid w:val="00710022"/>
    <w:rsid w:val="007255B6"/>
    <w:rsid w:val="00731181"/>
    <w:rsid w:val="00736A2F"/>
    <w:rsid w:val="00750E94"/>
    <w:rsid w:val="0075260D"/>
    <w:rsid w:val="007551BE"/>
    <w:rsid w:val="00774E00"/>
    <w:rsid w:val="0077553B"/>
    <w:rsid w:val="0077642C"/>
    <w:rsid w:val="007764F2"/>
    <w:rsid w:val="00783031"/>
    <w:rsid w:val="007A64A3"/>
    <w:rsid w:val="007B18AD"/>
    <w:rsid w:val="007B264F"/>
    <w:rsid w:val="007B6F09"/>
    <w:rsid w:val="007C561C"/>
    <w:rsid w:val="007C5E53"/>
    <w:rsid w:val="007C7D4D"/>
    <w:rsid w:val="007D5AF8"/>
    <w:rsid w:val="007D608E"/>
    <w:rsid w:val="007E1A0C"/>
    <w:rsid w:val="007F0DA3"/>
    <w:rsid w:val="007F12DA"/>
    <w:rsid w:val="007F1F52"/>
    <w:rsid w:val="007F6514"/>
    <w:rsid w:val="00804445"/>
    <w:rsid w:val="00811931"/>
    <w:rsid w:val="00821703"/>
    <w:rsid w:val="0083056B"/>
    <w:rsid w:val="0083275D"/>
    <w:rsid w:val="00836FD6"/>
    <w:rsid w:val="00863929"/>
    <w:rsid w:val="008708F0"/>
    <w:rsid w:val="00873990"/>
    <w:rsid w:val="0087638A"/>
    <w:rsid w:val="00891799"/>
    <w:rsid w:val="00896361"/>
    <w:rsid w:val="008C78A5"/>
    <w:rsid w:val="008D42B5"/>
    <w:rsid w:val="008D7411"/>
    <w:rsid w:val="008D773E"/>
    <w:rsid w:val="008D7F42"/>
    <w:rsid w:val="008E4109"/>
    <w:rsid w:val="008F0381"/>
    <w:rsid w:val="008F1BE1"/>
    <w:rsid w:val="008F3279"/>
    <w:rsid w:val="009171D0"/>
    <w:rsid w:val="0092104A"/>
    <w:rsid w:val="009223D6"/>
    <w:rsid w:val="00923DF5"/>
    <w:rsid w:val="0093370C"/>
    <w:rsid w:val="00944E6C"/>
    <w:rsid w:val="00955C51"/>
    <w:rsid w:val="00956DAF"/>
    <w:rsid w:val="00961569"/>
    <w:rsid w:val="00962BCF"/>
    <w:rsid w:val="0097422B"/>
    <w:rsid w:val="009855DA"/>
    <w:rsid w:val="00985859"/>
    <w:rsid w:val="0099287C"/>
    <w:rsid w:val="00993FBB"/>
    <w:rsid w:val="009A6DE2"/>
    <w:rsid w:val="009A7077"/>
    <w:rsid w:val="009B6157"/>
    <w:rsid w:val="009D32B5"/>
    <w:rsid w:val="009E0C0F"/>
    <w:rsid w:val="009E13CE"/>
    <w:rsid w:val="009E34DA"/>
    <w:rsid w:val="009F7CB0"/>
    <w:rsid w:val="00A036A0"/>
    <w:rsid w:val="00A070F3"/>
    <w:rsid w:val="00A1587F"/>
    <w:rsid w:val="00A4600C"/>
    <w:rsid w:val="00A5118B"/>
    <w:rsid w:val="00A5503E"/>
    <w:rsid w:val="00A56BC2"/>
    <w:rsid w:val="00A6570B"/>
    <w:rsid w:val="00A82DD9"/>
    <w:rsid w:val="00A867B7"/>
    <w:rsid w:val="00A9711B"/>
    <w:rsid w:val="00AA06B6"/>
    <w:rsid w:val="00AB504B"/>
    <w:rsid w:val="00AC0AF0"/>
    <w:rsid w:val="00AC68EC"/>
    <w:rsid w:val="00AC7D5B"/>
    <w:rsid w:val="00AF1886"/>
    <w:rsid w:val="00AF2635"/>
    <w:rsid w:val="00AF6909"/>
    <w:rsid w:val="00B0108B"/>
    <w:rsid w:val="00B0299D"/>
    <w:rsid w:val="00B0570F"/>
    <w:rsid w:val="00B362B7"/>
    <w:rsid w:val="00B37B83"/>
    <w:rsid w:val="00B44192"/>
    <w:rsid w:val="00B44A67"/>
    <w:rsid w:val="00B70C82"/>
    <w:rsid w:val="00B72AC4"/>
    <w:rsid w:val="00B75B10"/>
    <w:rsid w:val="00B77324"/>
    <w:rsid w:val="00B81708"/>
    <w:rsid w:val="00B8423E"/>
    <w:rsid w:val="00BA53E7"/>
    <w:rsid w:val="00BB0BB5"/>
    <w:rsid w:val="00BB2279"/>
    <w:rsid w:val="00BC6911"/>
    <w:rsid w:val="00BC70B2"/>
    <w:rsid w:val="00BE253B"/>
    <w:rsid w:val="00BE52F4"/>
    <w:rsid w:val="00BE69C4"/>
    <w:rsid w:val="00BE6A88"/>
    <w:rsid w:val="00BF004A"/>
    <w:rsid w:val="00C072E3"/>
    <w:rsid w:val="00C173DF"/>
    <w:rsid w:val="00C175C2"/>
    <w:rsid w:val="00C24EAA"/>
    <w:rsid w:val="00C262DD"/>
    <w:rsid w:val="00C33FF5"/>
    <w:rsid w:val="00C36178"/>
    <w:rsid w:val="00C40916"/>
    <w:rsid w:val="00C42603"/>
    <w:rsid w:val="00C4604F"/>
    <w:rsid w:val="00C50D84"/>
    <w:rsid w:val="00C53033"/>
    <w:rsid w:val="00C536AF"/>
    <w:rsid w:val="00C54CE8"/>
    <w:rsid w:val="00C5561F"/>
    <w:rsid w:val="00C575B9"/>
    <w:rsid w:val="00C7089C"/>
    <w:rsid w:val="00C715E5"/>
    <w:rsid w:val="00C728AC"/>
    <w:rsid w:val="00CA27D6"/>
    <w:rsid w:val="00CA2BDC"/>
    <w:rsid w:val="00CC6156"/>
    <w:rsid w:val="00CE5EF4"/>
    <w:rsid w:val="00CF0A28"/>
    <w:rsid w:val="00CF33EB"/>
    <w:rsid w:val="00D016C2"/>
    <w:rsid w:val="00D02EF3"/>
    <w:rsid w:val="00D04391"/>
    <w:rsid w:val="00D0501D"/>
    <w:rsid w:val="00D06794"/>
    <w:rsid w:val="00D11DCF"/>
    <w:rsid w:val="00D15E9D"/>
    <w:rsid w:val="00D1745A"/>
    <w:rsid w:val="00D25B64"/>
    <w:rsid w:val="00D3336B"/>
    <w:rsid w:val="00D344E4"/>
    <w:rsid w:val="00D348B6"/>
    <w:rsid w:val="00D40160"/>
    <w:rsid w:val="00D40BF2"/>
    <w:rsid w:val="00D40FA3"/>
    <w:rsid w:val="00D41B13"/>
    <w:rsid w:val="00D51CAB"/>
    <w:rsid w:val="00D522C9"/>
    <w:rsid w:val="00D62686"/>
    <w:rsid w:val="00D75C81"/>
    <w:rsid w:val="00D81708"/>
    <w:rsid w:val="00D85AA1"/>
    <w:rsid w:val="00D91252"/>
    <w:rsid w:val="00D93DE8"/>
    <w:rsid w:val="00DA051B"/>
    <w:rsid w:val="00DB0F2B"/>
    <w:rsid w:val="00DB1781"/>
    <w:rsid w:val="00DB446D"/>
    <w:rsid w:val="00DC1486"/>
    <w:rsid w:val="00DC2C43"/>
    <w:rsid w:val="00DC7D70"/>
    <w:rsid w:val="00DD3473"/>
    <w:rsid w:val="00DD7FF7"/>
    <w:rsid w:val="00DE364C"/>
    <w:rsid w:val="00DE595E"/>
    <w:rsid w:val="00DE7981"/>
    <w:rsid w:val="00E17257"/>
    <w:rsid w:val="00E274E9"/>
    <w:rsid w:val="00E45B05"/>
    <w:rsid w:val="00E45F8D"/>
    <w:rsid w:val="00E50186"/>
    <w:rsid w:val="00E57A78"/>
    <w:rsid w:val="00E60F98"/>
    <w:rsid w:val="00E76155"/>
    <w:rsid w:val="00E87F6E"/>
    <w:rsid w:val="00E964B1"/>
    <w:rsid w:val="00E973E8"/>
    <w:rsid w:val="00EA0D27"/>
    <w:rsid w:val="00EA334A"/>
    <w:rsid w:val="00EC04FD"/>
    <w:rsid w:val="00EC1039"/>
    <w:rsid w:val="00ED72E5"/>
    <w:rsid w:val="00EE0709"/>
    <w:rsid w:val="00EF0ACD"/>
    <w:rsid w:val="00F01766"/>
    <w:rsid w:val="00F073B3"/>
    <w:rsid w:val="00F102B4"/>
    <w:rsid w:val="00F10E33"/>
    <w:rsid w:val="00F32062"/>
    <w:rsid w:val="00F32734"/>
    <w:rsid w:val="00F416F2"/>
    <w:rsid w:val="00F42B47"/>
    <w:rsid w:val="00F42F8E"/>
    <w:rsid w:val="00F44253"/>
    <w:rsid w:val="00F96679"/>
    <w:rsid w:val="00F97309"/>
    <w:rsid w:val="00F97B36"/>
    <w:rsid w:val="00FB5E91"/>
    <w:rsid w:val="00FC02E0"/>
    <w:rsid w:val="00FC35AC"/>
    <w:rsid w:val="00FD2322"/>
    <w:rsid w:val="00FD5E0A"/>
    <w:rsid w:val="00FD6D5D"/>
    <w:rsid w:val="00FE050B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C3A4B10"/>
  <w15:chartTrackingRefBased/>
  <w15:docId w15:val="{BC2D7E7D-F496-4B09-AC9D-0427046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F5"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rsid w:val="00FD6D5D"/>
    <w:pPr>
      <w:jc w:val="both"/>
    </w:pPr>
  </w:style>
  <w:style w:type="paragraph" w:styleId="NormalWeb">
    <w:name w:val="Normal (Web)"/>
    <w:basedOn w:val="Normal"/>
    <w:link w:val="NormalWebCar"/>
    <w:rsid w:val="00FD6D5D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eastAsia="es-ES"/>
    </w:rPr>
  </w:style>
  <w:style w:type="character" w:styleId="Textoennegrita">
    <w:name w:val="Strong"/>
    <w:qFormat/>
    <w:rsid w:val="00FD6D5D"/>
    <w:rPr>
      <w:b/>
      <w:bCs/>
    </w:rPr>
  </w:style>
  <w:style w:type="character" w:styleId="Nmerodepgina">
    <w:name w:val="page number"/>
    <w:basedOn w:val="Fuentedeprrafopredeter"/>
    <w:rsid w:val="00E60F98"/>
  </w:style>
  <w:style w:type="paragraph" w:customStyle="1" w:styleId="CarCarCarCar">
    <w:name w:val="Car Car Car Car"/>
    <w:basedOn w:val="Normal"/>
    <w:rsid w:val="00612225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Textodeglobo">
    <w:name w:val="Balloon Text"/>
    <w:basedOn w:val="Normal"/>
    <w:semiHidden/>
    <w:rsid w:val="004B2C47"/>
    <w:rPr>
      <w:rFonts w:ascii="Tahoma" w:hAnsi="Tahoma" w:cs="Tahoma"/>
      <w:sz w:val="16"/>
      <w:szCs w:val="16"/>
    </w:rPr>
  </w:style>
  <w:style w:type="character" w:styleId="Hipervnculo">
    <w:name w:val="Hyperlink"/>
    <w:rsid w:val="002F3DA8"/>
    <w:rPr>
      <w:color w:val="0000FF"/>
      <w:u w:val="single"/>
    </w:rPr>
  </w:style>
  <w:style w:type="paragraph" w:styleId="Textoindependiente2">
    <w:name w:val="Body Text 2"/>
    <w:basedOn w:val="Normal"/>
    <w:rsid w:val="0087638A"/>
    <w:pPr>
      <w:spacing w:after="120" w:line="480" w:lineRule="auto"/>
    </w:pPr>
  </w:style>
  <w:style w:type="table" w:styleId="Tablaconcuadrcula">
    <w:name w:val="Table Grid"/>
    <w:basedOn w:val="Tablanormal"/>
    <w:rsid w:val="00BA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62BCF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NormalWebCar">
    <w:name w:val="Normal (Web) Car"/>
    <w:link w:val="NormalWeb"/>
    <w:rsid w:val="00C53033"/>
    <w:rPr>
      <w:rFonts w:ascii="Verdana" w:hAnsi="Verdana"/>
      <w:sz w:val="17"/>
      <w:szCs w:val="17"/>
      <w:lang w:val="eu-ES" w:eastAsia="es-ES" w:bidi="ar-SA"/>
    </w:rPr>
  </w:style>
  <w:style w:type="paragraph" w:styleId="Prrafodelista">
    <w:name w:val="List Paragraph"/>
    <w:basedOn w:val="Normal"/>
    <w:uiPriority w:val="34"/>
    <w:qFormat/>
    <w:rsid w:val="00FE050B"/>
    <w:pPr>
      <w:ind w:left="708"/>
    </w:pPr>
  </w:style>
  <w:style w:type="paragraph" w:customStyle="1" w:styleId="parrafo">
    <w:name w:val="parrafo"/>
    <w:basedOn w:val="Normal"/>
    <w:rsid w:val="00017AD0"/>
    <w:pPr>
      <w:spacing w:before="100" w:beforeAutospacing="1" w:after="100" w:afterAutospacing="1"/>
    </w:pPr>
    <w:rPr>
      <w:szCs w:val="24"/>
      <w:lang w:eastAsia="es-ES"/>
    </w:rPr>
  </w:style>
  <w:style w:type="paragraph" w:customStyle="1" w:styleId="parrafo2">
    <w:name w:val="parrafo_2"/>
    <w:basedOn w:val="Normal"/>
    <w:rsid w:val="00017AD0"/>
    <w:pPr>
      <w:spacing w:before="100" w:beforeAutospacing="1" w:after="100" w:afterAutospacing="1"/>
    </w:pPr>
    <w:rPr>
      <w:szCs w:val="24"/>
      <w:lang w:eastAsia="es-ES"/>
    </w:rPr>
  </w:style>
  <w:style w:type="paragraph" w:customStyle="1" w:styleId="Default">
    <w:name w:val="Default"/>
    <w:rsid w:val="00FD5E0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BB2279"/>
    <w:rPr>
      <w:lang w:val="eu-ES" w:eastAsia="es-ES_tradnl"/>
    </w:rPr>
  </w:style>
  <w:style w:type="paragraph" w:customStyle="1" w:styleId="CarCarCarCar0">
    <w:name w:val="Car Car Car Car"/>
    <w:basedOn w:val="Normal"/>
    <w:rsid w:val="00AC0AF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4303T\Escritorio\dpto12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9241-B7A1-416F-8AB2-45EF569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dpto12.dot</Template>
  <TotalTime>1</TotalTime>
  <Pages>5</Pages>
  <Words>1571</Words>
  <Characters>10327</Characters>
  <Application>Microsoft Office Word</Application>
  <DocSecurity>0</DocSecurity>
  <Lines>86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EJ04303T</dc:creator>
  <cp:keywords/>
  <cp:lastModifiedBy>Salas Cristóbal, Cristina</cp:lastModifiedBy>
  <cp:revision>2</cp:revision>
  <cp:lastPrinted>2020-01-13T12:12:00Z</cp:lastPrinted>
  <dcterms:created xsi:type="dcterms:W3CDTF">2020-01-16T14:10:00Z</dcterms:created>
  <dcterms:modified xsi:type="dcterms:W3CDTF">2020-01-16T14:10:00Z</dcterms:modified>
</cp:coreProperties>
</file>